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Times New Roman" w:hAnsi="Times New Roman"/>
          <w:lang w:val="sr-Latn-CS"/>
        </w:rPr>
      </w:pPr>
    </w:p>
    <w:p>
      <w:pPr>
        <w:pStyle w:val="style0"/>
        <w:rPr>
          <w:rFonts w:ascii="Times New Roman" w:hAnsi="Times New Roman"/>
          <w:lang w:val="sr-Latn-CS"/>
        </w:rPr>
      </w:pPr>
    </w:p>
    <w:p>
      <w:pPr>
        <w:pStyle w:val="style0"/>
        <w:rPr>
          <w:rFonts w:ascii="Times New Roman" w:hAnsi="Times New Roman"/>
          <w:lang w:val="sr-Latn-CS"/>
        </w:rPr>
      </w:pPr>
    </w:p>
    <w:p>
      <w:pPr>
        <w:pStyle w:val="style0"/>
        <w:rPr>
          <w:rFonts w:ascii="Times New Roman" w:hAnsi="Times New Roman"/>
          <w:lang w:val="sr-Latn-CS"/>
        </w:rPr>
      </w:pPr>
    </w:p>
    <w:p>
      <w:pPr>
        <w:pStyle w:val="style0"/>
        <w:jc w:val="center"/>
        <w:rPr>
          <w:rFonts w:ascii="Times New Roman" w:hAnsi="Times New Roman"/>
          <w:i/>
          <w:szCs w:val="24"/>
          <w:lang w:val="pt-BR"/>
        </w:rPr>
      </w:pPr>
      <w:r>
        <w:rPr>
          <w:rFonts w:ascii="Times New Roman" w:hAnsi="Times New Roman"/>
          <w:i/>
          <w:noProof/>
          <w:szCs w:val="24"/>
        </w:rPr>
        <w:drawing>
          <wp:inline distL="0" distT="0" distB="0" distR="0">
            <wp:extent cx="662437" cy="776297"/>
            <wp:effectExtent l="19050" t="0" r="4313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62437" cy="776297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jc w:val="center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Crna Gora</w:t>
      </w:r>
    </w:p>
    <w:p>
      <w:pPr>
        <w:pStyle w:val="style0"/>
        <w:pBdr>
          <w:bottom w:val="single" w:sz="12" w:space="1" w:color="auto"/>
        </w:pBdr>
        <w:jc w:val="center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pt-BR"/>
        </w:rPr>
        <w:t xml:space="preserve">O P </w:t>
      </w:r>
      <w:r>
        <w:rPr>
          <w:rFonts w:ascii="Times New Roman" w:hAnsi="Times New Roman"/>
          <w:szCs w:val="24"/>
          <w:lang w:val="sl-SI"/>
        </w:rPr>
        <w:t>Š T I N A  ŠAVNIK</w:t>
      </w:r>
    </w:p>
    <w:p>
      <w:pPr>
        <w:pStyle w:val="style0"/>
        <w:jc w:val="center"/>
        <w:rPr>
          <w:rFonts w:ascii="Times New Roman" w:hAnsi="Times New Roman"/>
          <w:szCs w:val="24"/>
          <w:lang w:val="sl-SI"/>
        </w:rPr>
      </w:pPr>
      <w:r>
        <w:rPr>
          <w:rFonts w:ascii="Times New Roman" w:hAnsi="Times New Roman"/>
          <w:szCs w:val="24"/>
          <w:lang w:val="sl-SI"/>
        </w:rPr>
        <w:t>Sekretarijat lokalne uprave</w:t>
      </w:r>
    </w:p>
    <w:p>
      <w:pPr>
        <w:pStyle w:val="style0"/>
        <w:jc w:val="center"/>
        <w:rPr>
          <w:rFonts w:ascii="Times New Roman" w:hAnsi="Times New Roman"/>
          <w:szCs w:val="24"/>
          <w:lang w:val="sl-SI"/>
        </w:rPr>
      </w:pPr>
    </w:p>
    <w:p>
      <w:pPr>
        <w:pStyle w:val="style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Broj: 03– 01-100-UPI-</w:t>
      </w:r>
      <w:r>
        <w:rPr>
          <w:rFonts w:ascii="Times New Roman" w:hAnsi="Times New Roman"/>
          <w:szCs w:val="24"/>
          <w:lang w:val="pt-BR"/>
        </w:rPr>
        <w:t>37/1</w:t>
      </w:r>
      <w:r>
        <w:rPr>
          <w:rFonts w:ascii="Times New Roman" w:hAnsi="Times New Roman"/>
          <w:szCs w:val="24"/>
          <w:lang w:val="pt-BR"/>
        </w:rPr>
        <w:t xml:space="preserve">                                               </w:t>
      </w:r>
      <w:r>
        <w:rPr>
          <w:rFonts w:ascii="Times New Roman" w:hAnsi="Times New Roman"/>
          <w:szCs w:val="24"/>
          <w:lang w:val="pt-BR"/>
        </w:rPr>
        <w:tab/>
      </w:r>
    </w:p>
    <w:p>
      <w:pPr>
        <w:pStyle w:val="style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Šavnik  22.09.2020. godine</w:t>
      </w:r>
    </w:p>
    <w:p>
      <w:pPr>
        <w:pStyle w:val="style0"/>
        <w:rPr>
          <w:rFonts w:ascii="Times New Roman" w:hAnsi="Times New Roman"/>
          <w:szCs w:val="24"/>
          <w:lang w:val="pt-BR"/>
        </w:rPr>
      </w:pPr>
    </w:p>
    <w:p>
      <w:pPr>
        <w:pStyle w:val="style179"/>
        <w:ind w:left="0" w:firstLine="720"/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>Na osnovu člana 113  stav 1 Zakona o lokalnoj samoupravi (“Službeni list Crne Gore”, br. 2/18, 34/19 i 38/20) i Odluke o objavljivanju javnog konkursa, br. 02-01-100-UPI-</w:t>
      </w:r>
      <w:r>
        <w:rPr>
          <w:rFonts w:ascii="Times New Roman" w:hAnsi="Times New Roman"/>
          <w:szCs w:val="24"/>
          <w:lang w:val="pt-BR"/>
        </w:rPr>
        <w:t>37</w:t>
      </w:r>
      <w:r>
        <w:rPr>
          <w:rFonts w:ascii="Times New Roman" w:hAnsi="Times New Roman"/>
          <w:szCs w:val="24"/>
          <w:lang w:val="pt-BR"/>
        </w:rPr>
        <w:t xml:space="preserve"> od 22.09.2020. godine, Sekretarijat lokalne uprave opštine Šavnik, objavljuje </w:t>
      </w:r>
    </w:p>
    <w:p>
      <w:pPr>
        <w:pStyle w:val="style0"/>
        <w:jc w:val="both"/>
        <w:rPr>
          <w:rFonts w:ascii="Times New Roman" w:hAnsi="Times New Roman"/>
          <w:b/>
          <w:sz w:val="16"/>
          <w:szCs w:val="16"/>
          <w:lang w:val="sl-SI"/>
        </w:rPr>
      </w:pPr>
    </w:p>
    <w:p>
      <w:pPr>
        <w:pStyle w:val="style81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JAVNI KONKURS</w:t>
      </w:r>
    </w:p>
    <w:p>
      <w:pPr>
        <w:pStyle w:val="style81"/>
        <w:ind w:left="360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  <w:lang w:val="it-IT"/>
        </w:rPr>
        <w:t>za popunu radn</w:t>
      </w:r>
      <w:r>
        <w:rPr>
          <w:rFonts w:ascii="Times New Roman" w:hAnsi="Times New Roman"/>
          <w:b/>
          <w:lang w:val="it-IT"/>
        </w:rPr>
        <w:t>og</w:t>
      </w:r>
      <w:r>
        <w:rPr>
          <w:rFonts w:ascii="Times New Roman" w:hAnsi="Times New Roman"/>
          <w:b/>
          <w:lang w:val="it-IT"/>
        </w:rPr>
        <w:t xml:space="preserve"> mjesta</w:t>
      </w:r>
    </w:p>
    <w:p>
      <w:pPr>
        <w:pStyle w:val="style81"/>
        <w:jc w:val="both"/>
        <w:rPr>
          <w:rFonts w:ascii="Times New Roman" w:hAnsi="Times New Roman"/>
          <w:lang w:val="it-IT"/>
        </w:rPr>
      </w:pPr>
    </w:p>
    <w:p>
      <w:pPr>
        <w:pStyle w:val="style0"/>
        <w:jc w:val="both"/>
        <w:rPr>
          <w:rFonts w:ascii="Times New Roman" w:hAnsi="Times New Roman"/>
        </w:rPr>
      </w:pPr>
    </w:p>
    <w:p>
      <w:pPr>
        <w:pStyle w:val="style32"/>
        <w:numPr>
          <w:ilvl w:val="0"/>
          <w:numId w:val="1"/>
        </w:numPr>
        <w:tabs>
          <w:tab w:val="clear" w:pos="4153"/>
          <w:tab w:val="clear" w:pos="8306"/>
        </w:tabs>
        <w:spacing w:after="120"/>
        <w:jc w:val="both"/>
        <w:rPr>
          <w:rFonts w:ascii="Times New Roman" w:hAnsi="Times New Roman"/>
          <w:b/>
          <w:szCs w:val="24"/>
          <w:lang w:val="hr-HR"/>
        </w:rPr>
      </w:pPr>
      <w:r>
        <w:rPr>
          <w:rFonts w:ascii="Times New Roman" w:hAnsi="Times New Roman"/>
          <w:b/>
          <w:szCs w:val="24"/>
          <w:lang w:val="hr-HR"/>
        </w:rPr>
        <w:t>Komandir</w:t>
      </w:r>
      <w:r>
        <w:rPr>
          <w:rFonts w:ascii="Times New Roman" w:hAnsi="Times New Roman"/>
          <w:b/>
          <w:szCs w:val="24"/>
          <w:lang w:val="hr-HR"/>
        </w:rPr>
        <w:t>/ka</w:t>
      </w:r>
      <w:r>
        <w:rPr>
          <w:rFonts w:ascii="Times New Roman" w:hAnsi="Times New Roman"/>
          <w:b/>
          <w:szCs w:val="24"/>
          <w:lang w:val="hr-HR"/>
        </w:rPr>
        <w:t xml:space="preserve"> Službe zaštite</w:t>
      </w:r>
      <w:r>
        <w:rPr>
          <w:rFonts w:ascii="Times New Roman" w:hAnsi="Times New Roman"/>
          <w:b/>
          <w:szCs w:val="24"/>
          <w:lang w:val="hr-HR"/>
        </w:rPr>
        <w:t xml:space="preserve"> i spašavanja</w:t>
      </w:r>
      <w:r>
        <w:rPr>
          <w:rFonts w:ascii="Times New Roman" w:hAnsi="Times New Roman"/>
          <w:b/>
          <w:szCs w:val="24"/>
          <w:lang w:val="hr-HR"/>
        </w:rPr>
        <w:t xml:space="preserve"> </w:t>
      </w:r>
      <w:r>
        <w:rPr>
          <w:rFonts w:ascii="Times New Roman" w:hAnsi="Times New Roman"/>
          <w:b/>
          <w:szCs w:val="24"/>
          <w:lang w:val="hr-HR"/>
        </w:rPr>
        <w:t>, 1 izvršilac, na vrijeme od 5 godina</w:t>
      </w:r>
    </w:p>
    <w:p>
      <w:pPr>
        <w:pStyle w:val="style81"/>
        <w:jc w:val="lef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Posebni uslovi:</w:t>
      </w:r>
    </w:p>
    <w:p>
      <w:pPr>
        <w:pStyle w:val="style81"/>
        <w:jc w:val="left"/>
        <w:rPr>
          <w:rFonts w:ascii="Times New Roman" w:hAnsi="Times New Roman"/>
          <w:lang w:val="it-IT"/>
        </w:rPr>
      </w:pPr>
    </w:p>
    <w:p>
      <w:pPr>
        <w:pStyle w:val="style179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VII1 </w:t>
      </w:r>
      <w:r>
        <w:rPr>
          <w:rFonts w:ascii="Times New Roman" w:hAnsi="Times New Roman"/>
        </w:rPr>
        <w:t>nivo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kvalifikacije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visokog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obrazovanja</w:t>
      </w:r>
      <w:r>
        <w:rPr>
          <w:rFonts w:ascii="Times New Roman" w:hAnsi="Times New Roman"/>
        </w:rPr>
        <w:t xml:space="preserve"> u </w:t>
      </w:r>
      <w:r>
        <w:rPr>
          <w:rFonts w:ascii="Times New Roman" w:hAnsi="Times New Roman"/>
        </w:rPr>
        <w:t>obimu</w:t>
      </w:r>
      <w:r>
        <w:rPr>
          <w:rFonts w:ascii="Times New Roman" w:hAnsi="Times New Roman"/>
        </w:rPr>
        <w:t xml:space="preserve"> od 240 </w:t>
      </w:r>
      <w:r>
        <w:rPr>
          <w:rFonts w:ascii="Times New Roman" w:hAnsi="Times New Roman"/>
        </w:rPr>
        <w:t>kredita</w:t>
      </w:r>
      <w:r>
        <w:rPr>
          <w:rFonts w:ascii="Times New Roman" w:hAnsi="Times New Roman"/>
        </w:rPr>
        <w:t xml:space="preserve"> CSPK</w:t>
      </w:r>
      <w:r>
        <w:rPr>
          <w:rFonts w:ascii="Times New Roman" w:hAnsi="Times New Roman"/>
          <w:lang w:val="en-US"/>
        </w:rPr>
        <w:t>-a</w:t>
      </w:r>
    </w:p>
    <w:p>
      <w:pPr>
        <w:pStyle w:val="style0"/>
        <w:numPr>
          <w:ilvl w:val="0"/>
          <w:numId w:val="7"/>
        </w:numPr>
        <w:tabs>
          <w:tab w:val="left" w:leader="none" w:pos="709"/>
        </w:tabs>
        <w:ind w:left="709" w:right="468" w:hanging="283"/>
        <w:jc w:val="both"/>
        <w:rPr>
          <w:rFonts w:ascii="Times New Roman" w:hAnsi="Times New Roman"/>
        </w:rPr>
      </w:pPr>
      <w:r>
        <w:rPr>
          <w:rFonts w:ascii="Tahoma" w:cs="Tahoma" w:eastAsia="Verdana" w:hAnsi="Tahoma"/>
          <w:sz w:val="20"/>
        </w:rPr>
        <w:t>Položen</w:t>
      </w:r>
      <w:r>
        <w:rPr>
          <w:rFonts w:ascii="Tahoma" w:cs="Tahoma" w:eastAsia="Verdana" w:hAnsi="Tahoma"/>
          <w:sz w:val="22"/>
          <w:szCs w:val="22"/>
        </w:rPr>
        <w:t xml:space="preserve"> 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stručni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ispit</w:t>
      </w:r>
      <w:r>
        <w:rPr>
          <w:rFonts w:ascii="Tahoma" w:cs="Tahoma" w:eastAsia="Verdana" w:hAnsi="Tahoma"/>
          <w:sz w:val="20"/>
        </w:rPr>
        <w:t xml:space="preserve"> za rad u </w:t>
      </w:r>
      <w:r>
        <w:rPr>
          <w:rFonts w:ascii="Tahoma" w:cs="Tahoma" w:eastAsia="Verdana" w:hAnsi="Tahoma"/>
          <w:sz w:val="20"/>
        </w:rPr>
        <w:t>državnim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organima</w:t>
      </w:r>
      <w:r>
        <w:rPr>
          <w:rFonts w:ascii="Tahoma" w:cs="Tahoma" w:eastAsia="Verdana" w:hAnsi="Tahoma"/>
          <w:sz w:val="20"/>
        </w:rPr>
        <w:t xml:space="preserve"> </w:t>
      </w:r>
    </w:p>
    <w:p>
      <w:pPr>
        <w:pStyle w:val="style0"/>
        <w:numPr>
          <w:ilvl w:val="0"/>
          <w:numId w:val="7"/>
        </w:numPr>
        <w:tabs>
          <w:tab w:val="left" w:leader="none" w:pos="709"/>
        </w:tabs>
        <w:ind w:left="709" w:right="468" w:hanging="283"/>
        <w:jc w:val="both"/>
        <w:rPr>
          <w:rFonts w:ascii="Tahoma" w:cs="Tahoma" w:eastAsia="Verdana" w:hAnsi="Tahoma"/>
          <w:sz w:val="20"/>
        </w:rPr>
      </w:pPr>
      <w:r>
        <w:rPr>
          <w:rFonts w:ascii="Tahoma" w:cs="Tahoma" w:eastAsia="Verdana" w:hAnsi="Tahoma"/>
          <w:sz w:val="20"/>
        </w:rPr>
        <w:t>Položen</w:t>
      </w:r>
      <w:r>
        <w:rPr>
          <w:rFonts w:ascii="Tahoma" w:cs="Tahoma" w:eastAsia="Verdana" w:hAnsi="Tahoma"/>
          <w:sz w:val="22"/>
          <w:szCs w:val="22"/>
        </w:rPr>
        <w:t xml:space="preserve"> </w:t>
      </w:r>
      <w:r>
        <w:rPr>
          <w:rFonts w:ascii="Tahoma" w:cs="Tahoma" w:eastAsia="Verdana" w:hAnsi="Tahoma"/>
          <w:sz w:val="20"/>
        </w:rPr>
        <w:t>drugi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stručni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ispit</w:t>
      </w:r>
      <w:r>
        <w:rPr>
          <w:rFonts w:ascii="Tahoma" w:cs="Tahoma" w:eastAsia="Verdana" w:hAnsi="Tahoma"/>
          <w:sz w:val="20"/>
        </w:rPr>
        <w:t xml:space="preserve"> za rad u </w:t>
      </w:r>
      <w:r>
        <w:rPr>
          <w:rFonts w:ascii="Tahoma" w:cs="Tahoma" w:eastAsia="Verdana" w:hAnsi="Tahoma"/>
          <w:sz w:val="20"/>
        </w:rPr>
        <w:t>državnim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organima</w:t>
      </w:r>
      <w:r>
        <w:rPr>
          <w:rFonts w:ascii="Tahoma" w:cs="Tahoma" w:eastAsia="Verdana" w:hAnsi="Tahoma"/>
          <w:sz w:val="20"/>
        </w:rPr>
        <w:t xml:space="preserve"> u </w:t>
      </w:r>
      <w:r>
        <w:rPr>
          <w:rFonts w:ascii="Tahoma" w:cs="Tahoma" w:eastAsia="Verdana" w:hAnsi="Tahoma"/>
          <w:sz w:val="20"/>
        </w:rPr>
        <w:t>oblasti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zaštite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i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spašavanja</w:t>
      </w:r>
    </w:p>
    <w:p>
      <w:pPr>
        <w:pStyle w:val="style0"/>
        <w:numPr>
          <w:ilvl w:val="0"/>
          <w:numId w:val="7"/>
        </w:numPr>
        <w:tabs>
          <w:tab w:val="left" w:leader="none" w:pos="709"/>
        </w:tabs>
        <w:ind w:left="709" w:right="468" w:hanging="283"/>
        <w:jc w:val="both"/>
        <w:rPr>
          <w:rFonts w:ascii="Tahoma" w:cs="Tahoma" w:eastAsia="Verdana" w:hAnsi="Tahoma"/>
          <w:sz w:val="20"/>
        </w:rPr>
      </w:pPr>
      <w:r>
        <w:rPr>
          <w:rFonts w:ascii="Tahoma" w:cs="Tahoma" w:eastAsia="Verdana" w:hAnsi="Tahoma"/>
          <w:sz w:val="20"/>
        </w:rPr>
        <w:t>Najmanje</w:t>
      </w:r>
      <w:r>
        <w:rPr>
          <w:rFonts w:ascii="Tahoma" w:cs="Tahoma" w:eastAsia="Verdana" w:hAnsi="Tahoma"/>
          <w:sz w:val="20"/>
        </w:rPr>
        <w:t xml:space="preserve"> 5 </w:t>
      </w:r>
      <w:r>
        <w:rPr>
          <w:rFonts w:ascii="Tahoma" w:cs="Tahoma" w:eastAsia="Verdana" w:hAnsi="Tahoma"/>
          <w:sz w:val="20"/>
        </w:rPr>
        <w:t>godina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radnog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iskustva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na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poslovima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zaštite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i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spašavanja</w:t>
      </w:r>
    </w:p>
    <w:p>
      <w:pPr>
        <w:pStyle w:val="style0"/>
        <w:numPr>
          <w:ilvl w:val="0"/>
          <w:numId w:val="7"/>
        </w:numPr>
        <w:tabs>
          <w:tab w:val="left" w:leader="none" w:pos="709"/>
        </w:tabs>
        <w:ind w:left="709" w:right="468" w:hanging="283"/>
        <w:jc w:val="both"/>
        <w:rPr>
          <w:rFonts w:ascii="Tahoma" w:cs="Tahoma" w:eastAsia="Verdana" w:hAnsi="Tahoma"/>
          <w:sz w:val="20"/>
        </w:rPr>
      </w:pPr>
      <w:r>
        <w:rPr>
          <w:rFonts w:ascii="Tahoma" w:cs="Tahoma" w:eastAsia="Verdana" w:hAnsi="Tahoma"/>
          <w:sz w:val="20"/>
        </w:rPr>
        <w:t>Psihofizička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sposobnost</w:t>
      </w:r>
      <w:r>
        <w:rPr>
          <w:rFonts w:ascii="Tahoma" w:cs="Tahoma" w:eastAsia="Verdana" w:hAnsi="Tahoma"/>
          <w:sz w:val="20"/>
        </w:rPr>
        <w:t xml:space="preserve"> za </w:t>
      </w:r>
      <w:r>
        <w:rPr>
          <w:rFonts w:ascii="Tahoma" w:cs="Tahoma" w:eastAsia="Verdana" w:hAnsi="Tahoma"/>
          <w:sz w:val="20"/>
        </w:rPr>
        <w:t>vršenje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poslova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zaštite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i</w:t>
      </w:r>
      <w:r>
        <w:rPr>
          <w:rFonts w:ascii="Tahoma" w:cs="Tahoma" w:eastAsia="Verdana" w:hAnsi="Tahoma"/>
          <w:sz w:val="20"/>
        </w:rPr>
        <w:t xml:space="preserve"> </w:t>
      </w:r>
      <w:r>
        <w:rPr>
          <w:rFonts w:ascii="Tahoma" w:cs="Tahoma" w:eastAsia="Verdana" w:hAnsi="Tahoma"/>
          <w:sz w:val="20"/>
        </w:rPr>
        <w:t>spašavanja</w:t>
      </w:r>
      <w:r>
        <w:rPr>
          <w:rFonts w:ascii="Tahoma" w:cs="Tahoma" w:eastAsia="Verdana" w:hAnsi="Tahoma"/>
          <w:sz w:val="20"/>
        </w:rPr>
        <w:t>.</w:t>
      </w:r>
    </w:p>
    <w:p>
      <w:pPr>
        <w:pStyle w:val="style81"/>
        <w:jc w:val="both"/>
        <w:rPr>
          <w:rFonts w:ascii="Times New Roman" w:hAnsi="Times New Roman"/>
          <w:lang w:val="it-IT"/>
        </w:rPr>
      </w:pPr>
    </w:p>
    <w:p>
      <w:pPr>
        <w:pStyle w:val="style81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K</w:t>
      </w:r>
      <w:r>
        <w:rPr>
          <w:rFonts w:ascii="Times New Roman" w:hAnsi="Times New Roman"/>
          <w:lang w:val="it-IT"/>
        </w:rPr>
        <w:t xml:space="preserve">andidati, pored posebnih uslova propisanih za pojedina radna mjesta, moraju ispunjavati </w:t>
      </w:r>
      <w:r>
        <w:rPr>
          <w:rFonts w:ascii="Times New Roman" w:hAnsi="Times New Roman"/>
          <w:lang w:val="it-IT"/>
        </w:rPr>
        <w:t xml:space="preserve">opšte </w:t>
      </w:r>
      <w:r>
        <w:rPr>
          <w:rFonts w:ascii="Times New Roman" w:hAnsi="Times New Roman"/>
          <w:lang w:val="it-IT"/>
        </w:rPr>
        <w:t xml:space="preserve">uslove </w:t>
      </w:r>
      <w:r>
        <w:rPr>
          <w:rFonts w:ascii="Times New Roman" w:hAnsi="Times New Roman"/>
          <w:lang w:val="it-IT"/>
        </w:rPr>
        <w:t>za zasnivanje radnog odnosa propisane</w:t>
      </w:r>
      <w:r>
        <w:rPr>
          <w:rFonts w:ascii="Times New Roman" w:hAnsi="Times New Roman"/>
          <w:lang w:val="it-IT"/>
        </w:rPr>
        <w:t xml:space="preserve"> u članu 34 Zakona o državnim službenicima i namještenicima (“Služb</w:t>
      </w:r>
      <w:r>
        <w:rPr>
          <w:rFonts w:ascii="Times New Roman" w:hAnsi="Times New Roman"/>
          <w:lang w:val="it-IT"/>
        </w:rPr>
        <w:t>eni list Crne Gore”, br. 2/18</w:t>
      </w:r>
      <w:r>
        <w:rPr>
          <w:rFonts w:ascii="Times New Roman" w:hAnsi="Times New Roman"/>
          <w:lang w:val="it-IT"/>
        </w:rPr>
        <w:t xml:space="preserve"> i 34/19</w:t>
      </w:r>
      <w:r>
        <w:rPr>
          <w:rFonts w:ascii="Times New Roman" w:hAnsi="Times New Roman"/>
          <w:lang w:val="it-IT"/>
        </w:rPr>
        <w:t>) koji glasi da u državnom organu može da zasnuje radni odnos lice koje:</w:t>
      </w:r>
    </w:p>
    <w:p>
      <w:pPr>
        <w:pStyle w:val="style81"/>
        <w:numPr>
          <w:ilvl w:val="0"/>
          <w:numId w:val="6"/>
        </w:num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je crnogorski državljanin,</w:t>
      </w:r>
    </w:p>
    <w:p>
      <w:pPr>
        <w:pStyle w:val="style81"/>
        <w:ind w:left="36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   </w:t>
      </w:r>
      <w:r>
        <w:rPr>
          <w:rFonts w:ascii="Times New Roman" w:hAnsi="Times New Roman"/>
          <w:lang w:val="it-IT"/>
        </w:rPr>
        <w:t>ima navršenih 18 godina života,</w:t>
      </w:r>
    </w:p>
    <w:p>
      <w:pPr>
        <w:pStyle w:val="style81"/>
        <w:ind w:left="36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   </w:t>
      </w:r>
      <w:r>
        <w:rPr>
          <w:rFonts w:ascii="Times New Roman" w:hAnsi="Times New Roman"/>
          <w:lang w:val="it-IT"/>
        </w:rPr>
        <w:t>je zdravstveno sposobno za obavljanje poslova radnog mjesta,</w:t>
      </w:r>
    </w:p>
    <w:p>
      <w:pPr>
        <w:pStyle w:val="style81"/>
        <w:ind w:left="36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   </w:t>
      </w:r>
      <w:r>
        <w:rPr>
          <w:rFonts w:ascii="Times New Roman" w:hAnsi="Times New Roman"/>
          <w:lang w:val="it-IT"/>
        </w:rPr>
        <w:t>ima propisani nivo kvalifikacije obrazovanja,</w:t>
      </w:r>
    </w:p>
    <w:p>
      <w:pPr>
        <w:pStyle w:val="style81"/>
        <w:ind w:left="36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   </w:t>
      </w:r>
      <w:r>
        <w:rPr>
          <w:rFonts w:ascii="Times New Roman" w:hAnsi="Times New Roman"/>
          <w:lang w:val="it-IT"/>
        </w:rPr>
        <w:t>ima položen stručni ispit za rad u državnim organima,</w:t>
      </w:r>
    </w:p>
    <w:p>
      <w:pPr>
        <w:pStyle w:val="style81"/>
        <w:ind w:left="36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- </w:t>
      </w:r>
      <w:r>
        <w:rPr>
          <w:rFonts w:ascii="Times New Roman" w:hAnsi="Times New Roman"/>
          <w:lang w:val="it-IT"/>
        </w:rPr>
        <w:t xml:space="preserve">   </w:t>
      </w:r>
      <w:r>
        <w:rPr>
          <w:rFonts w:ascii="Times New Roman" w:hAnsi="Times New Roman"/>
          <w:lang w:val="it-IT"/>
        </w:rPr>
        <w:t>nije osuđivano za krivično djelo koje ga čini nedostojnim za rad u državnom organu i protiv koga nije pokrenut krivični postupak po službenoj dužnosti.</w:t>
      </w:r>
    </w:p>
    <w:p>
      <w:pPr>
        <w:pStyle w:val="style81"/>
        <w:jc w:val="both"/>
        <w:rPr>
          <w:rFonts w:ascii="Times New Roman" w:hAnsi="Times New Roman"/>
          <w:sz w:val="16"/>
          <w:szCs w:val="16"/>
          <w:lang w:val="it-IT"/>
        </w:rPr>
      </w:pPr>
      <w:r>
        <w:rPr>
          <w:lang w:val="it-IT"/>
        </w:rPr>
        <w:t xml:space="preserve"> </w:t>
      </w:r>
    </w:p>
    <w:p>
      <w:pPr>
        <w:pStyle w:val="style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Uvjerenje da lice nije osuđivano za krivično djelo koje ga čini nedostojnim za rad u državnom organu pribavlja se po</w:t>
      </w:r>
      <w:r>
        <w:rPr>
          <w:rFonts w:ascii="Times New Roman" w:hAnsi="Times New Roman"/>
          <w:lang w:val="it-IT"/>
        </w:rPr>
        <w:t xml:space="preserve"> s</w:t>
      </w:r>
      <w:r>
        <w:rPr>
          <w:rFonts w:ascii="Times New Roman" w:hAnsi="Times New Roman"/>
          <w:lang w:val="it-IT"/>
        </w:rPr>
        <w:t>lužbenoj dužnosti.</w:t>
      </w:r>
    </w:p>
    <w:p>
      <w:pPr>
        <w:pStyle w:val="style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U skladu sa članom 35 stav 3 Zakona o državnim službenicima i namještenicima, uvjerenje o zdravstvenoj sposobnosti kandidat koji bude izabran Odlukom o izboru kandidata, dostavlja starješini državnog organa, najkasnije u roku od 8 dana od dana dostavljanja te odluke.</w:t>
      </w:r>
    </w:p>
    <w:p>
      <w:pPr>
        <w:pStyle w:val="style0"/>
        <w:jc w:val="both"/>
        <w:rPr>
          <w:rFonts w:ascii="Times New Roman" w:hAnsi="Times New Roman"/>
          <w:b/>
          <w:lang w:val="it-IT"/>
        </w:rPr>
      </w:pPr>
    </w:p>
    <w:p>
      <w:pPr>
        <w:pStyle w:val="style0"/>
        <w:jc w:val="both"/>
        <w:rPr>
          <w:rFonts w:ascii="Times New Roman" w:hAnsi="Times New Roman"/>
          <w:b/>
          <w:lang w:val="it-IT"/>
        </w:rPr>
      </w:pPr>
    </w:p>
    <w:p>
      <w:pPr>
        <w:pStyle w:val="style0"/>
        <w:jc w:val="both"/>
        <w:rPr>
          <w:rFonts w:ascii="Times New Roman" w:hAnsi="Times New Roman"/>
          <w:b/>
          <w:lang w:val="it-IT"/>
        </w:rPr>
      </w:pPr>
    </w:p>
    <w:p>
      <w:pPr>
        <w:pStyle w:val="style0"/>
        <w:jc w:val="both"/>
        <w:rPr>
          <w:rFonts w:ascii="Times New Roman" w:hAnsi="Times New Roman"/>
          <w:b/>
          <w:lang w:val="it-IT"/>
        </w:rPr>
      </w:pPr>
    </w:p>
    <w:p>
      <w:pPr>
        <w:pStyle w:val="style0"/>
        <w:jc w:val="both"/>
        <w:rPr>
          <w:rFonts w:ascii="Times New Roman" w:hAnsi="Times New Roman"/>
          <w:b/>
          <w:lang w:val="it-IT"/>
        </w:rPr>
      </w:pPr>
    </w:p>
    <w:p>
      <w:pPr>
        <w:pStyle w:val="style0"/>
        <w:jc w:val="both"/>
        <w:rPr>
          <w:rFonts w:ascii="Times New Roman" w:hAnsi="Times New Roman"/>
          <w:b/>
          <w:lang w:val="it-IT"/>
        </w:rPr>
      </w:pPr>
    </w:p>
    <w:p>
      <w:pPr>
        <w:pStyle w:val="style0"/>
        <w:jc w:val="both"/>
        <w:rPr>
          <w:rFonts w:ascii="Times New Roman" w:hAnsi="Times New Roman"/>
          <w:b/>
          <w:lang w:val="it-IT"/>
        </w:rPr>
      </w:pPr>
    </w:p>
    <w:p>
      <w:pPr>
        <w:pStyle w:val="style0"/>
        <w:jc w:val="both"/>
        <w:rPr>
          <w:rFonts w:ascii="Times New Roman" w:hAnsi="Times New Roman"/>
          <w:b/>
          <w:lang w:val="it-IT"/>
        </w:rPr>
      </w:pPr>
    </w:p>
    <w:p>
      <w:pPr>
        <w:pStyle w:val="style0"/>
        <w:jc w:val="both"/>
        <w:rPr>
          <w:rFonts w:ascii="Times New Roman" w:hAnsi="Times New Roman"/>
          <w:b/>
          <w:lang w:val="it-IT"/>
        </w:rPr>
      </w:pPr>
    </w:p>
    <w:p>
      <w:pPr>
        <w:pStyle w:val="style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  <w:lang w:val="it-IT"/>
        </w:rPr>
        <w:t>Potrebna dokumentacija</w:t>
      </w:r>
      <w:r>
        <w:rPr>
          <w:rFonts w:ascii="Times New Roman" w:hAnsi="Times New Roman"/>
          <w:lang w:val="it-IT"/>
        </w:rPr>
        <w:t>:</w:t>
      </w:r>
    </w:p>
    <w:p>
      <w:pPr>
        <w:pStyle w:val="style0"/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</w:rPr>
        <w:t>rijava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javni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konkurs</w:t>
      </w:r>
    </w:p>
    <w:p>
      <w:pPr>
        <w:pStyle w:val="style0"/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curriculim</w:t>
      </w:r>
      <w:r>
        <w:rPr>
          <w:rFonts w:ascii="Times New Roman" w:hAnsi="Times New Roman"/>
        </w:rPr>
        <w:t xml:space="preserve"> v</w:t>
      </w:r>
      <w:r>
        <w:rPr>
          <w:rFonts w:ascii="Times New Roman" w:hAnsi="Times New Roman"/>
        </w:rPr>
        <w:t>itae (CV)</w:t>
      </w:r>
    </w:p>
    <w:p>
      <w:pPr>
        <w:pStyle w:val="style0"/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</w:t>
      </w:r>
      <w:r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državljanstvu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shd w:val="clear" w:color="auto" w:fill="fbfbfb"/>
        </w:rPr>
        <w:t>kandidati</w:t>
      </w:r>
      <w:r>
        <w:rPr>
          <w:rFonts w:ascii="Times New Roman" w:hAnsi="Times New Roman"/>
          <w:shd w:val="clear" w:color="auto" w:fill="fbfbfb"/>
        </w:rPr>
        <w:t xml:space="preserve"> koji </w:t>
      </w:r>
      <w:r>
        <w:rPr>
          <w:rFonts w:ascii="Times New Roman" w:hAnsi="Times New Roman"/>
          <w:shd w:val="clear" w:color="auto" w:fill="fbfbfb"/>
        </w:rPr>
        <w:t>posjeduju</w:t>
      </w:r>
      <w:r>
        <w:rPr>
          <w:rFonts w:ascii="Times New Roman" w:hAnsi="Times New Roman"/>
          <w:shd w:val="clear" w:color="auto" w:fill="fbfbfb"/>
        </w:rPr>
        <w:t xml:space="preserve"> </w:t>
      </w:r>
      <w:r>
        <w:rPr>
          <w:rFonts w:ascii="Times New Roman" w:hAnsi="Times New Roman"/>
          <w:shd w:val="clear" w:color="auto" w:fill="fbfbfb"/>
        </w:rPr>
        <w:t>biometrijsku</w:t>
      </w:r>
      <w:r>
        <w:rPr>
          <w:rFonts w:ascii="Times New Roman" w:hAnsi="Times New Roman"/>
          <w:shd w:val="clear" w:color="auto" w:fill="fbfbfb"/>
        </w:rPr>
        <w:t xml:space="preserve"> </w:t>
      </w:r>
      <w:r>
        <w:rPr>
          <w:rFonts w:ascii="Times New Roman" w:hAnsi="Times New Roman"/>
          <w:shd w:val="clear" w:color="auto" w:fill="fbfbfb"/>
        </w:rPr>
        <w:t>ličnu</w:t>
      </w:r>
      <w:r>
        <w:rPr>
          <w:rFonts w:ascii="Times New Roman" w:hAnsi="Times New Roman"/>
          <w:shd w:val="clear" w:color="auto" w:fill="fbfbfb"/>
        </w:rPr>
        <w:t xml:space="preserve"> </w:t>
      </w:r>
      <w:r>
        <w:rPr>
          <w:rFonts w:ascii="Times New Roman" w:hAnsi="Times New Roman"/>
          <w:shd w:val="clear" w:color="auto" w:fill="fbfbfb"/>
        </w:rPr>
        <w:t>kartu</w:t>
      </w:r>
      <w:r>
        <w:rPr>
          <w:rFonts w:ascii="Times New Roman" w:hAnsi="Times New Roman"/>
          <w:shd w:val="clear" w:color="auto" w:fill="fbfbfb"/>
        </w:rPr>
        <w:t xml:space="preserve"> </w:t>
      </w:r>
      <w:r>
        <w:rPr>
          <w:rFonts w:ascii="Times New Roman" w:hAnsi="Times New Roman"/>
          <w:shd w:val="clear" w:color="auto" w:fill="fbfbfb"/>
        </w:rPr>
        <w:t>nijesu</w:t>
      </w:r>
      <w:r>
        <w:rPr>
          <w:rFonts w:ascii="Times New Roman" w:hAnsi="Times New Roman"/>
          <w:shd w:val="clear" w:color="auto" w:fill="fbfbfb"/>
        </w:rPr>
        <w:t xml:space="preserve"> u </w:t>
      </w:r>
      <w:r>
        <w:rPr>
          <w:rFonts w:ascii="Times New Roman" w:hAnsi="Times New Roman"/>
          <w:shd w:val="clear" w:color="auto" w:fill="fbfbfb"/>
        </w:rPr>
        <w:t>obavezi</w:t>
      </w:r>
      <w:r>
        <w:rPr>
          <w:rFonts w:ascii="Times New Roman" w:hAnsi="Times New Roman"/>
          <w:shd w:val="clear" w:color="auto" w:fill="fbfbfb"/>
        </w:rPr>
        <w:t xml:space="preserve"> da </w:t>
      </w:r>
      <w:r>
        <w:rPr>
          <w:rFonts w:ascii="Times New Roman" w:hAnsi="Times New Roman"/>
          <w:shd w:val="clear" w:color="auto" w:fill="fbfbfb"/>
        </w:rPr>
        <w:t>dostave</w:t>
      </w:r>
      <w:r>
        <w:rPr>
          <w:rFonts w:ascii="Times New Roman" w:hAnsi="Times New Roman"/>
          <w:shd w:val="clear" w:color="auto" w:fill="fbfbfb"/>
        </w:rPr>
        <w:t xml:space="preserve"> </w:t>
      </w:r>
      <w:r>
        <w:rPr>
          <w:rFonts w:ascii="Times New Roman" w:hAnsi="Times New Roman"/>
          <w:shd w:val="clear" w:color="auto" w:fill="fbfbfb"/>
        </w:rPr>
        <w:t>uvjerenje</w:t>
      </w:r>
      <w:r>
        <w:rPr>
          <w:rFonts w:ascii="Times New Roman" w:hAnsi="Times New Roman"/>
          <w:shd w:val="clear" w:color="auto" w:fill="fbfbfb"/>
        </w:rPr>
        <w:t xml:space="preserve"> o </w:t>
      </w:r>
      <w:r>
        <w:rPr>
          <w:rFonts w:ascii="Times New Roman" w:hAnsi="Times New Roman"/>
          <w:shd w:val="clear" w:color="auto" w:fill="fbfbfb"/>
        </w:rPr>
        <w:t>državljanstvu</w:t>
      </w:r>
      <w:r>
        <w:rPr>
          <w:rFonts w:ascii="Times New Roman" w:hAnsi="Times New Roman"/>
          <w:shd w:val="clear" w:color="auto" w:fill="fbfbfb"/>
        </w:rPr>
        <w:t xml:space="preserve">, </w:t>
      </w:r>
      <w:r>
        <w:rPr>
          <w:rFonts w:ascii="Times New Roman" w:hAnsi="Times New Roman"/>
          <w:shd w:val="clear" w:color="auto" w:fill="fbfbfb"/>
        </w:rPr>
        <w:t>već</w:t>
      </w:r>
      <w:r>
        <w:rPr>
          <w:rFonts w:ascii="Times New Roman" w:hAnsi="Times New Roman"/>
          <w:shd w:val="clear" w:color="auto" w:fill="fbfbfb"/>
        </w:rPr>
        <w:t xml:space="preserve"> </w:t>
      </w:r>
      <w:r>
        <w:rPr>
          <w:rFonts w:ascii="Times New Roman" w:hAnsi="Times New Roman"/>
          <w:shd w:val="clear" w:color="auto" w:fill="fbfbfb"/>
        </w:rPr>
        <w:t>ovjerenu</w:t>
      </w:r>
      <w:r>
        <w:rPr>
          <w:rFonts w:ascii="Times New Roman" w:hAnsi="Times New Roman"/>
          <w:shd w:val="clear" w:color="auto" w:fill="fbfbfb"/>
        </w:rPr>
        <w:t xml:space="preserve"> </w:t>
      </w:r>
      <w:r>
        <w:rPr>
          <w:rFonts w:ascii="Times New Roman" w:hAnsi="Times New Roman"/>
          <w:shd w:val="clear" w:color="auto" w:fill="fbfbfb"/>
        </w:rPr>
        <w:t>kopiju</w:t>
      </w:r>
      <w:r>
        <w:rPr>
          <w:rFonts w:ascii="Times New Roman" w:hAnsi="Times New Roman"/>
          <w:shd w:val="clear" w:color="auto" w:fill="fbfbfb"/>
        </w:rPr>
        <w:t xml:space="preserve"> </w:t>
      </w:r>
      <w:r>
        <w:rPr>
          <w:rFonts w:ascii="Times New Roman" w:hAnsi="Times New Roman"/>
          <w:shd w:val="clear" w:color="auto" w:fill="fbfbfb"/>
        </w:rPr>
        <w:t>biometrijske</w:t>
      </w:r>
      <w:r>
        <w:rPr>
          <w:rFonts w:ascii="Times New Roman" w:hAnsi="Times New Roman"/>
          <w:shd w:val="clear" w:color="auto" w:fill="fbfbfb"/>
        </w:rPr>
        <w:t xml:space="preserve"> </w:t>
      </w:r>
      <w:r>
        <w:rPr>
          <w:rFonts w:ascii="Times New Roman" w:hAnsi="Times New Roman"/>
          <w:shd w:val="clear" w:color="auto" w:fill="fbfbfb"/>
        </w:rPr>
        <w:t>lične</w:t>
      </w:r>
      <w:r>
        <w:rPr>
          <w:rFonts w:ascii="Times New Roman" w:hAnsi="Times New Roman"/>
          <w:shd w:val="clear" w:color="auto" w:fill="fbfbfb"/>
        </w:rPr>
        <w:t xml:space="preserve"> </w:t>
      </w:r>
      <w:r>
        <w:rPr>
          <w:rFonts w:ascii="Times New Roman" w:hAnsi="Times New Roman"/>
          <w:shd w:val="clear" w:color="auto" w:fill="fbfbfb"/>
        </w:rPr>
        <w:t>karte</w:t>
      </w:r>
      <w:r>
        <w:rPr>
          <w:rFonts w:ascii="Times New Roman" w:hAnsi="Times New Roman"/>
          <w:shd w:val="clear" w:color="auto" w:fill="fbfbfb"/>
        </w:rPr>
        <w:t>)</w:t>
      </w:r>
    </w:p>
    <w:p>
      <w:pPr>
        <w:pStyle w:val="style0"/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diploma </w:t>
      </w:r>
      <w:r>
        <w:rPr>
          <w:rFonts w:ascii="Times New Roman" w:hAnsi="Times New Roman"/>
          <w:color w:val="000000"/>
          <w:shd w:val="clear" w:color="auto" w:fill="ffffff"/>
        </w:rPr>
        <w:t>ili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uvjerenje</w:t>
      </w:r>
      <w:r>
        <w:rPr>
          <w:rFonts w:ascii="Times New Roman" w:hAnsi="Times New Roman"/>
          <w:color w:val="000000"/>
          <w:shd w:val="clear" w:color="auto" w:fill="ffffff"/>
        </w:rPr>
        <w:t xml:space="preserve"> o </w:t>
      </w:r>
      <w:r>
        <w:rPr>
          <w:rFonts w:ascii="Times New Roman" w:hAnsi="Times New Roman"/>
          <w:color w:val="000000"/>
          <w:shd w:val="clear" w:color="auto" w:fill="ffffff"/>
        </w:rPr>
        <w:t>završenom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nivou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i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vrsti</w:t>
      </w:r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>obrazovanja</w:t>
      </w:r>
      <w:r>
        <w:rPr>
          <w:rFonts w:ascii="Times New Roman" w:hAnsi="Times New Roman"/>
          <w:color w:val="000000"/>
          <w:shd w:val="clear" w:color="auto" w:fill="ffffff"/>
        </w:rPr>
        <w:t xml:space="preserve">  </w:t>
      </w:r>
    </w:p>
    <w:p>
      <w:pPr>
        <w:pStyle w:val="style0"/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ili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potvrda</w:t>
      </w:r>
      <w:r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potrebnom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radnom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iskustvu</w:t>
      </w:r>
    </w:p>
    <w:p>
      <w:pPr>
        <w:pStyle w:val="style0"/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</w:t>
      </w:r>
      <w:r>
        <w:rPr>
          <w:rFonts w:ascii="Times New Roman" w:hAnsi="Times New Roman"/>
        </w:rPr>
        <w:t xml:space="preserve"> o </w:t>
      </w:r>
      <w:r>
        <w:rPr>
          <w:rFonts w:ascii="Times New Roman" w:hAnsi="Times New Roman"/>
        </w:rPr>
        <w:t>položenom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stručnom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ispitu</w:t>
      </w:r>
      <w:r>
        <w:rPr>
          <w:rFonts w:ascii="Times New Roman" w:hAnsi="Times New Roman"/>
        </w:rPr>
        <w:t xml:space="preserve"> za rad u </w:t>
      </w:r>
      <w:r>
        <w:rPr>
          <w:rFonts w:ascii="Times New Roman" w:hAnsi="Times New Roman"/>
        </w:rPr>
        <w:t>državnim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organima</w:t>
      </w:r>
    </w:p>
    <w:p>
      <w:pPr>
        <w:pStyle w:val="style0"/>
        <w:numPr>
          <w:ilvl w:val="0"/>
          <w:numId w:val="2"/>
        </w:numPr>
        <w:tabs>
          <w:tab w:val="clear" w:pos="1070"/>
        </w:tabs>
        <w:ind w:left="1430"/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uvjerenje nadležnog suda da se protiv kandidata ne vodi krivični postupak za krivično djelo za koje se gonjenje preuzima po službenoj dužnosti</w:t>
      </w:r>
      <w:r>
        <w:rPr>
          <w:rFonts w:ascii="Times New Roman" w:hAnsi="Times New Roman"/>
          <w:lang w:val="it-IT"/>
        </w:rPr>
        <w:t>.</w:t>
      </w:r>
    </w:p>
    <w:p>
      <w:pPr>
        <w:pStyle w:val="style0"/>
        <w:numPr>
          <w:ilvl w:val="0"/>
          <w:numId w:val="8"/>
        </w:numPr>
        <w:tabs>
          <w:tab w:val="clear" w:pos="720"/>
        </w:tabs>
        <w:overflowPunct w:val="false"/>
        <w:autoSpaceDE w:val="false"/>
        <w:autoSpaceDN w:val="false"/>
        <w:adjustRightInd w:val="false"/>
        <w:ind w:left="1440" w:right="751"/>
        <w:jc w:val="both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vjerenje</w:t>
      </w:r>
      <w:r>
        <w:rPr>
          <w:rFonts w:ascii="Times New Roman" w:hAnsi="Times New Roman"/>
          <w:szCs w:val="24"/>
        </w:rPr>
        <w:t xml:space="preserve"> o </w:t>
      </w:r>
      <w:r>
        <w:rPr>
          <w:rFonts w:ascii="Times New Roman" w:hAnsi="Times New Roman"/>
          <w:szCs w:val="24"/>
        </w:rPr>
        <w:t>položenom</w:t>
      </w:r>
      <w:r>
        <w:rPr>
          <w:rFonts w:ascii="Times New Roman" w:eastAsia="Verdana" w:hAnsi="Times New Roman"/>
          <w:szCs w:val="24"/>
        </w:rPr>
        <w:t xml:space="preserve"> </w:t>
      </w:r>
      <w:r>
        <w:rPr>
          <w:rFonts w:ascii="Times New Roman" w:eastAsia="Verdana" w:hAnsi="Times New Roman"/>
          <w:szCs w:val="24"/>
        </w:rPr>
        <w:t>drugom</w:t>
      </w:r>
      <w:r>
        <w:rPr>
          <w:rFonts w:ascii="Times New Roman" w:eastAsia="Verdana" w:hAnsi="Times New Roman"/>
          <w:szCs w:val="24"/>
        </w:rPr>
        <w:t xml:space="preserve"> </w:t>
      </w:r>
      <w:r>
        <w:rPr>
          <w:rFonts w:ascii="Times New Roman" w:eastAsia="Verdana" w:hAnsi="Times New Roman"/>
          <w:szCs w:val="24"/>
        </w:rPr>
        <w:t>stručnom</w:t>
      </w:r>
      <w:r>
        <w:rPr>
          <w:rFonts w:ascii="Times New Roman" w:eastAsia="Verdana" w:hAnsi="Times New Roman"/>
          <w:szCs w:val="24"/>
        </w:rPr>
        <w:t xml:space="preserve"> </w:t>
      </w:r>
      <w:r>
        <w:rPr>
          <w:rFonts w:ascii="Times New Roman" w:eastAsia="Verdana" w:hAnsi="Times New Roman"/>
          <w:szCs w:val="24"/>
        </w:rPr>
        <w:t>ispitu</w:t>
      </w:r>
      <w:r>
        <w:rPr>
          <w:rFonts w:ascii="Times New Roman" w:eastAsia="Verdana" w:hAnsi="Times New Roman"/>
          <w:szCs w:val="24"/>
        </w:rPr>
        <w:t xml:space="preserve"> za rad u </w:t>
      </w:r>
      <w:r>
        <w:rPr>
          <w:rFonts w:ascii="Times New Roman" w:eastAsia="Verdana" w:hAnsi="Times New Roman"/>
          <w:szCs w:val="24"/>
        </w:rPr>
        <w:t>državnim</w:t>
      </w:r>
      <w:r>
        <w:rPr>
          <w:rFonts w:ascii="Times New Roman" w:eastAsia="Verdana" w:hAnsi="Times New Roman"/>
          <w:szCs w:val="24"/>
        </w:rPr>
        <w:t xml:space="preserve"> </w:t>
      </w:r>
      <w:r>
        <w:rPr>
          <w:rFonts w:ascii="Times New Roman" w:eastAsia="Verdana" w:hAnsi="Times New Roman"/>
          <w:szCs w:val="24"/>
        </w:rPr>
        <w:t>organima</w:t>
      </w:r>
      <w:r>
        <w:rPr>
          <w:rFonts w:ascii="Times New Roman" w:eastAsia="Verdana" w:hAnsi="Times New Roman"/>
          <w:szCs w:val="24"/>
        </w:rPr>
        <w:t xml:space="preserve"> u </w:t>
      </w:r>
      <w:r>
        <w:rPr>
          <w:rFonts w:ascii="Times New Roman" w:eastAsia="Verdana" w:hAnsi="Times New Roman"/>
          <w:szCs w:val="24"/>
        </w:rPr>
        <w:t>oblasti</w:t>
      </w:r>
      <w:r>
        <w:rPr>
          <w:rFonts w:ascii="Times New Roman" w:eastAsia="Verdana" w:hAnsi="Times New Roman"/>
          <w:szCs w:val="24"/>
        </w:rPr>
        <w:t xml:space="preserve"> </w:t>
      </w:r>
      <w:r>
        <w:rPr>
          <w:rFonts w:ascii="Times New Roman" w:eastAsia="Verdana" w:hAnsi="Times New Roman"/>
          <w:szCs w:val="24"/>
        </w:rPr>
        <w:t>zaštite</w:t>
      </w:r>
      <w:r>
        <w:rPr>
          <w:rFonts w:ascii="Times New Roman" w:eastAsia="Verdana" w:hAnsi="Times New Roman"/>
          <w:szCs w:val="24"/>
        </w:rPr>
        <w:t xml:space="preserve"> </w:t>
      </w:r>
      <w:r>
        <w:rPr>
          <w:rFonts w:ascii="Times New Roman" w:eastAsia="Verdana" w:hAnsi="Times New Roman"/>
          <w:szCs w:val="24"/>
        </w:rPr>
        <w:t>i</w:t>
      </w:r>
      <w:r>
        <w:rPr>
          <w:rFonts w:ascii="Times New Roman" w:eastAsia="Verdana" w:hAnsi="Times New Roman"/>
          <w:szCs w:val="24"/>
        </w:rPr>
        <w:t xml:space="preserve"> </w:t>
      </w:r>
      <w:r>
        <w:rPr>
          <w:rFonts w:ascii="Times New Roman" w:eastAsia="Verdana" w:hAnsi="Times New Roman"/>
          <w:szCs w:val="24"/>
        </w:rPr>
        <w:t>spašavanja</w:t>
      </w:r>
    </w:p>
    <w:p>
      <w:pPr>
        <w:pStyle w:val="style0"/>
        <w:numPr>
          <w:ilvl w:val="0"/>
          <w:numId w:val="8"/>
        </w:numPr>
        <w:tabs>
          <w:tab w:val="clear" w:pos="720"/>
        </w:tabs>
        <w:ind w:left="1440" w:right="468"/>
        <w:jc w:val="both"/>
        <w:rPr>
          <w:rFonts w:ascii="Times New Roman" w:eastAsia="Verdana" w:hAnsi="Times New Roman"/>
          <w:szCs w:val="24"/>
        </w:rPr>
      </w:pPr>
      <w:r>
        <w:rPr>
          <w:rFonts w:ascii="Times New Roman" w:eastAsia="Verdana" w:hAnsi="Times New Roman"/>
          <w:szCs w:val="24"/>
        </w:rPr>
        <w:t>u</w:t>
      </w:r>
      <w:r>
        <w:rPr>
          <w:rFonts w:ascii="Times New Roman" w:eastAsia="Verdana" w:hAnsi="Times New Roman"/>
          <w:szCs w:val="24"/>
        </w:rPr>
        <w:t>vjerenje</w:t>
      </w:r>
      <w:r>
        <w:rPr>
          <w:rFonts w:ascii="Times New Roman" w:eastAsia="Verdana" w:hAnsi="Times New Roman"/>
          <w:szCs w:val="24"/>
        </w:rPr>
        <w:t xml:space="preserve"> o </w:t>
      </w:r>
      <w:r>
        <w:rPr>
          <w:rFonts w:ascii="Times New Roman" w:eastAsia="Verdana" w:hAnsi="Times New Roman"/>
          <w:szCs w:val="24"/>
        </w:rPr>
        <w:t>psihofizičkoj</w:t>
      </w:r>
      <w:r>
        <w:rPr>
          <w:rFonts w:ascii="Times New Roman" w:eastAsia="Verdana" w:hAnsi="Times New Roman"/>
          <w:szCs w:val="24"/>
        </w:rPr>
        <w:t xml:space="preserve"> </w:t>
      </w:r>
      <w:r>
        <w:rPr>
          <w:rFonts w:ascii="Times New Roman" w:eastAsia="Verdana" w:hAnsi="Times New Roman"/>
          <w:szCs w:val="24"/>
        </w:rPr>
        <w:t>sposobnosti</w:t>
      </w:r>
    </w:p>
    <w:p>
      <w:pPr>
        <w:pStyle w:val="style0"/>
        <w:jc w:val="both"/>
        <w:rPr>
          <w:rFonts w:ascii="Times New Roman" w:hAnsi="Times New Roman"/>
          <w:lang w:val="it-IT"/>
        </w:rPr>
      </w:pPr>
    </w:p>
    <w:p>
      <w:pPr>
        <w:pStyle w:val="style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U organu lokalne uprave ne može da zasnuje radni odnos lice koje je korisnik prava na penziju, u skladu sa zakonom.</w:t>
      </w:r>
    </w:p>
    <w:p>
      <w:pPr>
        <w:pStyle w:val="style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lang w:val="it-IT"/>
        </w:rPr>
        <w:t>Državni službenik, odnosno namještenik koji je ostvario pravo na otpremninu ne može zasnovati radni odnos u državnom organu ili pravnom licu, u periodu od jedne godine od dana isplate otpremnine. Ograničenje se ne odnosi na lice koje vrati cjelokupni iznos isplaćene otpremnine.</w:t>
      </w:r>
    </w:p>
    <w:p>
      <w:pPr>
        <w:pStyle w:val="style81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Provjera kompetencija, znanja i sposobnosti kandidata, izvršiće se u skladu sa članom 121 Zakona o loklnoj samoupravi, putem testiranja u pisanoj formi i strukturiranim intervjuom, ocjenjivanjem kompetencija, znanja i sposobnosti, na osnovu propisanih kriterijuma.</w:t>
      </w:r>
    </w:p>
    <w:p>
      <w:pPr>
        <w:pStyle w:val="style81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O datumu, mjestu, vremenu i načinu provjere, kandidati sa liste kandidata koji ispunjavaju uslove javnog konkursa će biti obaviješteni najkasnije pet dana prije dana provjere.</w:t>
      </w:r>
    </w:p>
    <w:p>
      <w:pPr>
        <w:pStyle w:val="style81"/>
        <w:jc w:val="both"/>
        <w:rPr>
          <w:rFonts w:ascii="Times New Roman" w:hAnsi="Times New Roman"/>
          <w:szCs w:val="24"/>
          <w:lang w:val="it-IT"/>
        </w:rPr>
      </w:pPr>
    </w:p>
    <w:p>
      <w:pPr>
        <w:pStyle w:val="style81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>Navedenu dokumentaciju potrebno je dostaviti u roku od 20 dana od dana objavljivanja Javnog konkursa u zatvorenoj koverti, preko arhive ili preporučenom poštom, na adresu:</w:t>
      </w:r>
    </w:p>
    <w:p>
      <w:pPr>
        <w:pStyle w:val="style81"/>
        <w:jc w:val="both"/>
        <w:rPr>
          <w:rFonts w:ascii="Times New Roman" w:hAnsi="Times New Roman"/>
          <w:szCs w:val="24"/>
          <w:lang w:val="it-IT"/>
        </w:rPr>
      </w:pPr>
    </w:p>
    <w:p>
      <w:pPr>
        <w:pStyle w:val="style81"/>
        <w:rPr>
          <w:rFonts w:ascii="Times New Roman" w:hAnsi="Times New Roman"/>
          <w:b/>
          <w:szCs w:val="24"/>
          <w:lang w:val="it-IT"/>
        </w:rPr>
      </w:pPr>
    </w:p>
    <w:p>
      <w:pPr>
        <w:pStyle w:val="style81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Opština Šavnik– Sekretarijat lokalne uprave</w:t>
      </w:r>
    </w:p>
    <w:p>
      <w:pPr>
        <w:pStyle w:val="style81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Šavnička III br. 5, 81450 Šavnik</w:t>
      </w:r>
    </w:p>
    <w:p>
      <w:pPr>
        <w:pStyle w:val="style81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b/>
          <w:szCs w:val="24"/>
          <w:lang w:val="it-IT"/>
        </w:rPr>
        <w:t>sa naznakom “Prijava na Javni konkurs”.</w:t>
      </w:r>
    </w:p>
    <w:p>
      <w:pPr>
        <w:pStyle w:val="style0"/>
        <w:ind w:left="2880"/>
        <w:jc w:val="both"/>
        <w:rPr>
          <w:rFonts w:ascii="Times New Roman" w:hAnsi="Times New Roman"/>
          <w:b/>
          <w:szCs w:val="24"/>
          <w:lang w:val="sl-SI"/>
        </w:rPr>
      </w:pPr>
    </w:p>
    <w:p>
      <w:pPr>
        <w:pStyle w:val="style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b/>
          <w:szCs w:val="24"/>
          <w:lang w:val="sl-SI"/>
        </w:rPr>
        <w:t xml:space="preserve">    </w:t>
      </w:r>
    </w:p>
    <w:p>
      <w:pPr>
        <w:pStyle w:val="style94"/>
        <w:shd w:val="clear" w:color="auto" w:fill="fbfbfb"/>
        <w:spacing w:before="0" w:beforeAutospacing="false" w:after="370" w:afterAutospacing="false" w:lineRule="atLeast" w:line="370"/>
        <w:rPr>
          <w:color w:val="555555"/>
        </w:rPr>
      </w:pPr>
      <w:r>
        <w:t>Kontakt osoba: Mladen Roćenović</w:t>
      </w:r>
      <w:r>
        <w:br/>
      </w:r>
      <w:r>
        <w:t>Broj telefona/fax: 040/266-108;</w:t>
      </w:r>
      <w:r>
        <w:br/>
      </w:r>
      <w:r>
        <w:t>E-mail: sosavnik@t-com.me;</w:t>
      </w:r>
    </w:p>
    <w:p>
      <w:pPr>
        <w:pStyle w:val="style0"/>
        <w:jc w:val="both"/>
        <w:rPr>
          <w:rFonts w:ascii="Times New Roman" w:hAnsi="Times New Roman"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       </w:t>
      </w:r>
    </w:p>
    <w:p>
      <w:pPr>
        <w:pStyle w:val="style0"/>
        <w:jc w:val="right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</w:t>
      </w:r>
      <w:r>
        <w:rPr>
          <w:rFonts w:ascii="Times New Roman" w:hAnsi="Times New Roman"/>
          <w:b/>
          <w:szCs w:val="24"/>
          <w:lang w:val="it-IT"/>
        </w:rPr>
        <w:t>v.d. Sekretar-a,</w:t>
      </w:r>
    </w:p>
    <w:p>
      <w:pPr>
        <w:pStyle w:val="style0"/>
        <w:jc w:val="right"/>
        <w:rPr>
          <w:rFonts w:ascii="Times New Roman" w:hAnsi="Times New Roman"/>
          <w:bCs/>
          <w:szCs w:val="24"/>
          <w:lang w:val="it-IT"/>
        </w:rPr>
      </w:pPr>
      <w:r>
        <w:rPr>
          <w:rFonts w:ascii="Times New Roman" w:hAnsi="Times New Roman"/>
          <w:bCs/>
          <w:szCs w:val="24"/>
          <w:lang w:val="it-IT"/>
        </w:rPr>
        <w:t>Mladen Roćenović</w:t>
      </w:r>
    </w:p>
    <w:p>
      <w:pPr>
        <w:pStyle w:val="style0"/>
        <w:jc w:val="right"/>
        <w:rPr>
          <w:rFonts w:ascii="Times New Roman" w:hAnsi="Times New Roman"/>
          <w:b/>
          <w:szCs w:val="24"/>
          <w:lang w:val="it-IT"/>
        </w:rPr>
      </w:pPr>
      <w:r>
        <w:rPr>
          <w:rFonts w:ascii="Times New Roman" w:hAnsi="Times New Roman"/>
          <w:szCs w:val="24"/>
          <w:lang w:val="it-IT"/>
        </w:rPr>
        <w:t xml:space="preserve">                                                                                                                                  </w:t>
      </w:r>
    </w:p>
    <w:p>
      <w:pPr>
        <w:pStyle w:val="style0"/>
        <w:ind w:right="751"/>
        <w:jc w:val="both"/>
        <w:rPr>
          <w:rFonts w:ascii="Tahoma" w:cs="Tahoma" w:hAnsi="Tahoma"/>
          <w:sz w:val="20"/>
        </w:rPr>
      </w:pPr>
    </w:p>
    <w:p>
      <w:pPr>
        <w:pStyle w:val="style0"/>
        <w:jc w:val="both"/>
        <w:rPr>
          <w:rFonts w:ascii="Times New Roman" w:hAnsi="Times New Roman"/>
          <w:b/>
          <w:szCs w:val="24"/>
          <w:lang w:val="it-IT"/>
        </w:rPr>
      </w:pPr>
    </w:p>
    <w:sectPr>
      <w:pgSz w:w="11907" w:h="16840" w:orient="portrait" w:code="9"/>
      <w:pgMar w:top="142" w:right="837" w:bottom="425" w:left="9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altName w:val="Courier New"/>
    <w:panose1 w:val="02070309020002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00006FF" w:usb1="4000205B" w:usb2="00000010" w:usb3="00000000" w:csb0="0000019F" w:csb1="00000000"/>
  </w:font>
  <w:font w:name="Arial2">
    <w:altName w:val="Courier New"/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Times New Roman2">
    <w:altName w:val="Courier New"/>
    <w:panose1 w:val="00000000000000000000"/>
    <w:charset w:val="00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02ED89E"/>
    <w:lvl w:ilvl="0" w:tplc="0409000F">
      <w:start w:val="2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1">
    <w:nsid w:val="00000001"/>
    <w:multiLevelType w:val="hybridMultilevel"/>
    <w:tmpl w:val="1F70948A"/>
    <w:lvl w:ilvl="0" w:tplc="B9382962">
      <w:start w:val="1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Dutch" w:cs="Times New Roman" w:eastAsia="Times New Roman" w:hAnsi="Dutch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1B86C4A"/>
    <w:lvl w:ilvl="0" w:tplc="732860F6">
      <w:start w:val="1"/>
      <w:numFmt w:val="bullet"/>
      <w:lvlText w:val="-"/>
      <w:lvlJc w:val="left"/>
      <w:pPr>
        <w:ind w:left="786" w:hanging="360"/>
      </w:pPr>
      <w:rPr>
        <w:rFonts w:ascii="Arial" w:cs="Arial" w:eastAsia="Verdana" w:hAnsi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C52C024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4">
    <w:nsid w:val="00000004"/>
    <w:multiLevelType w:val="hybridMultilevel"/>
    <w:tmpl w:val="126069C0"/>
    <w:lvl w:ilvl="0" w:tplc="0409000F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5">
    <w:nsid w:val="00000005"/>
    <w:multiLevelType w:val="hybridMultilevel"/>
    <w:tmpl w:val="4FFA9E16"/>
    <w:lvl w:ilvl="0" w:tplc="1148475E">
      <w:start w:val="1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Times New Roman" w:cs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5E0F9A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singleLevel"/>
    <w:tmpl w:val="F7B0B9C8"/>
    <w:lvl w:ilvl="0">
      <w:start w:val="1"/>
      <w:numFmt w:val="bullet"/>
      <w:lvlText w:val="-"/>
      <w:lvlJc w:val="left"/>
      <w:pPr>
        <w:tabs>
          <w:tab w:val="left" w:leader="none" w:pos="1070"/>
        </w:tabs>
        <w:ind w:left="107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bidi="ar-SA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rFonts w:ascii="Arial2" w:hAnsi="Arial2"/>
      <w:sz w:val="24"/>
      <w:lang w:val="en-US" w:eastAsia="en-US"/>
    </w:rPr>
  </w:style>
  <w:style w:type="paragraph" w:styleId="style1">
    <w:name w:val="heading 1"/>
    <w:basedOn w:val="style0"/>
    <w:next w:val="style0"/>
    <w:qFormat/>
    <w:pPr>
      <w:keepNext/>
      <w:jc w:val="center"/>
      <w:outlineLvl w:val="0"/>
    </w:pPr>
    <w:rPr>
      <w:sz w:val="28"/>
    </w:rPr>
  </w:style>
  <w:style w:type="paragraph" w:styleId="style2">
    <w:name w:val="heading 2"/>
    <w:basedOn w:val="style0"/>
    <w:next w:val="style0"/>
    <w:qFormat/>
    <w:pPr>
      <w:keepNext/>
      <w:jc w:val="center"/>
      <w:outlineLvl w:val="1"/>
    </w:pPr>
    <w:rPr>
      <w:b/>
    </w:rPr>
  </w:style>
  <w:style w:type="paragraph" w:styleId="style3">
    <w:name w:val="heading 3"/>
    <w:basedOn w:val="style0"/>
    <w:next w:val="style0"/>
    <w:qFormat/>
    <w:pPr>
      <w:keepNext/>
      <w:jc w:val="center"/>
      <w:outlineLvl w:val="2"/>
    </w:pPr>
    <w:rPr>
      <w:rFonts w:ascii="Times New Roman2" w:hAnsi="Times New Roman2"/>
      <w:b/>
      <w:sz w:val="32"/>
    </w:rPr>
  </w:style>
  <w:style w:type="paragraph" w:styleId="style4">
    <w:name w:val="heading 4"/>
    <w:basedOn w:val="style0"/>
    <w:next w:val="style0"/>
    <w:qFormat/>
    <w:pPr>
      <w:keepNext/>
      <w:ind w:left="2880" w:firstLine="720"/>
      <w:outlineLvl w:val="3"/>
    </w:pPr>
    <w:rPr>
      <w:rFonts w:ascii="Times New Roman2" w:hAnsi="Times New Roman2"/>
      <w:b/>
      <w:sz w:val="28"/>
    </w:rPr>
  </w:style>
  <w:style w:type="paragraph" w:styleId="style5">
    <w:name w:val="heading 5"/>
    <w:basedOn w:val="style0"/>
    <w:next w:val="style0"/>
    <w:qFormat/>
    <w:pPr>
      <w:keepNext/>
      <w:outlineLvl w:val="4"/>
    </w:pPr>
    <w:rPr>
      <w:b/>
      <w:sz w:val="28"/>
    </w:rPr>
  </w:style>
  <w:style w:type="paragraph" w:styleId="style6">
    <w:name w:val="heading 6"/>
    <w:basedOn w:val="style0"/>
    <w:next w:val="style0"/>
    <w:qFormat/>
    <w:pPr>
      <w:keepNext/>
      <w:outlineLvl w:val="5"/>
    </w:pPr>
    <w:rPr>
      <w:b/>
    </w:rPr>
  </w:style>
  <w:style w:type="paragraph" w:styleId="style9">
    <w:name w:val="heading 9"/>
    <w:basedOn w:val="style0"/>
    <w:next w:val="style0"/>
    <w:qFormat/>
    <w:pPr>
      <w:keepNext/>
      <w:spacing w:before="120" w:after="60"/>
      <w:outlineLvl w:val="8"/>
    </w:pPr>
    <w:rPr>
      <w:b/>
      <w:color w:val="008080"/>
      <w:spacing w:val="10"/>
      <w:sz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pPr>
      <w:tabs>
        <w:tab w:val="center" w:leader="none" w:pos="4320"/>
        <w:tab w:val="right" w:leader="none" w:pos="8640"/>
      </w:tabs>
    </w:pPr>
    <w:rPr>
      <w:rFonts w:ascii="Times New Roman" w:hAnsi="Times New Roman"/>
      <w:sz w:val="20"/>
    </w:rPr>
  </w:style>
  <w:style w:type="paragraph" w:styleId="style66">
    <w:name w:val="Body Text"/>
    <w:basedOn w:val="style0"/>
    <w:next w:val="style66"/>
    <w:pPr/>
    <w:rPr>
      <w:rFonts w:ascii="Times New Roman2" w:hAnsi="Times New Roman2"/>
      <w:b/>
    </w:rPr>
  </w:style>
  <w:style w:type="paragraph" w:styleId="style80">
    <w:name w:val="Body Text 2"/>
    <w:basedOn w:val="style0"/>
    <w:next w:val="style80"/>
    <w:pPr>
      <w:jc w:val="center"/>
    </w:pPr>
    <w:rPr>
      <w:rFonts w:ascii="Times New Roman2" w:hAnsi="Times New Roman2"/>
      <w:b/>
      <w:sz w:val="28"/>
    </w:rPr>
  </w:style>
  <w:style w:type="paragraph" w:styleId="style81">
    <w:name w:val="Body Text 3"/>
    <w:basedOn w:val="style0"/>
    <w:next w:val="style81"/>
    <w:link w:val="style4099"/>
    <w:uiPriority w:val="99"/>
    <w:pPr>
      <w:jc w:val="center"/>
    </w:pPr>
    <w:rPr>
      <w:rFonts w:ascii="Times New Roman2" w:hAnsi="Times New Roman2"/>
    </w:rPr>
  </w:style>
  <w:style w:type="paragraph" w:styleId="style153">
    <w:name w:val="Balloon Text"/>
    <w:basedOn w:val="style0"/>
    <w:next w:val="style153"/>
    <w:pPr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rPr>
      <w:color w:val="0000ff"/>
      <w:u w:val="single"/>
    </w:rPr>
  </w:style>
  <w:style w:type="paragraph" w:styleId="style32">
    <w:name w:val="footer"/>
    <w:basedOn w:val="style0"/>
    <w:next w:val="style32"/>
    <w:pPr>
      <w:tabs>
        <w:tab w:val="center" w:leader="none" w:pos="4153"/>
        <w:tab w:val="right" w:leader="none" w:pos="8306"/>
      </w:tabs>
    </w:pPr>
    <w:rPr/>
  </w:style>
  <w:style w:type="character" w:customStyle="1" w:styleId="style4097">
    <w:name w:val="apple-converted-space"/>
    <w:basedOn w:val="style65"/>
    <w:next w:val="style4097"/>
  </w:style>
  <w:style w:type="character" w:styleId="style87">
    <w:name w:val="Strong"/>
    <w:basedOn w:val="style65"/>
    <w:next w:val="style87"/>
    <w:qFormat/>
    <w:rPr>
      <w:b/>
      <w:bCs/>
    </w:rPr>
  </w:style>
  <w:style w:type="paragraph" w:customStyle="1" w:styleId="style4098">
    <w:name w:val="Char Char"/>
    <w:basedOn w:val="style0"/>
    <w:next w:val="style4098"/>
    <w:pPr>
      <w:spacing w:after="160" w:lineRule="exact" w:line="240"/>
    </w:pPr>
    <w:rPr>
      <w:rFonts w:ascii="Tahoma" w:hAnsi="Tahoma"/>
      <w:sz w:val="20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/>
    </w:pPr>
    <w:rPr>
      <w:rFonts w:ascii="Times New Roman" w:hAnsi="Times New Roman"/>
      <w:szCs w:val="24"/>
    </w:rPr>
  </w:style>
  <w:style w:type="character" w:customStyle="1" w:styleId="style4099">
    <w:name w:val="Body Text 3 Char"/>
    <w:basedOn w:val="style65"/>
    <w:next w:val="style4099"/>
    <w:link w:val="style81"/>
    <w:uiPriority w:val="99"/>
    <w:rPr>
      <w:rFonts w:ascii="Times New Roman2" w:hAnsi="Times New Roman2"/>
      <w:sz w:val="24"/>
      <w:lang w:val="en-US" w:eastAsia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573</Words>
  <Pages>2</Pages>
  <Characters>3324</Characters>
  <Application>WPS Office</Application>
  <DocSecurity>0</DocSecurity>
  <Paragraphs>77</Paragraphs>
  <ScaleCrop>false</ScaleCrop>
  <Company>Sekretarijat za KIS, Bar</Company>
  <LinksUpToDate>false</LinksUpToDate>
  <CharactersWithSpaces>4153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2020-09-10T08:33:00Z</dcterms:created>
  <dc:creator>Uprava</dc:creator>
  <lastModifiedBy>Redmi Note 8T</lastModifiedBy>
  <lastPrinted>2020-09-22T08:05:00Z</lastPrinted>
  <dcterms:modified xsi:type="dcterms:W3CDTF">2020-10-02T18:50:18Z</dcterms:modified>
  <revision>15</revision>
  <dc:title>REPUBLIKA CRNA GORA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